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6A3F" w14:textId="24C6630C" w:rsidR="0097545A" w:rsidRPr="00D87B1F" w:rsidRDefault="00D87B1F">
      <w:pPr>
        <w:rPr>
          <w:rFonts w:asciiTheme="majorHAnsi" w:hAnsiTheme="majorHAnsi" w:cstheme="majorHAnsi"/>
          <w:sz w:val="32"/>
          <w:szCs w:val="32"/>
        </w:rPr>
      </w:pPr>
      <w:r w:rsidRPr="00D87B1F">
        <w:rPr>
          <w:rFonts w:asciiTheme="majorHAnsi" w:hAnsiTheme="majorHAnsi" w:cstheme="majorHAnsi"/>
          <w:sz w:val="32"/>
          <w:szCs w:val="32"/>
        </w:rPr>
        <w:t>Talarmanus</w:t>
      </w:r>
      <w:r>
        <w:rPr>
          <w:rFonts w:asciiTheme="majorHAnsi" w:hAnsiTheme="majorHAnsi" w:cstheme="majorHAnsi"/>
          <w:sz w:val="32"/>
          <w:szCs w:val="32"/>
        </w:rPr>
        <w:t xml:space="preserve"> - Rätt stöd, rätt försörjning</w:t>
      </w:r>
    </w:p>
    <w:p w14:paraId="4A2EBB59" w14:textId="4FB6E0B2" w:rsidR="00D87B1F" w:rsidRPr="00D87B1F" w:rsidRDefault="00D87B1F">
      <w:pPr>
        <w:rPr>
          <w:b/>
          <w:bCs/>
        </w:rPr>
      </w:pPr>
      <w:r w:rsidRPr="00D87B1F">
        <w:rPr>
          <w:b/>
          <w:bCs/>
        </w:rPr>
        <w:t>Bild 1</w:t>
      </w:r>
    </w:p>
    <w:p w14:paraId="35D6E78E" w14:textId="78F52385" w:rsidR="00D87B1F" w:rsidRDefault="00D87B1F">
      <w:r>
        <w:t>En arbetsgrupp med representanter från Samordningsförbunden i Jönköpings län samt kommuner, Regionen, Arbetsförmedlingen och Försäkringskassan har gemensamt arbetet fram denna modell för att säkerställa rehabiliteringsprocessen och att målgruppen får rätt stöd och rätt försörjning.</w:t>
      </w:r>
    </w:p>
    <w:p w14:paraId="6F609110" w14:textId="37BD1FB5" w:rsidR="00297BBD" w:rsidRDefault="00297BBD">
      <w:r>
        <w:t>SKR följer arbetet med samverkansmodellen.</w:t>
      </w:r>
    </w:p>
    <w:p w14:paraId="080DBB8B" w14:textId="40324130" w:rsidR="00D87B1F" w:rsidRPr="00D87B1F" w:rsidRDefault="00D87B1F">
      <w:pPr>
        <w:rPr>
          <w:b/>
          <w:bCs/>
        </w:rPr>
      </w:pPr>
      <w:r w:rsidRPr="00D87B1F">
        <w:rPr>
          <w:b/>
          <w:bCs/>
        </w:rPr>
        <w:t>Bild 2</w:t>
      </w:r>
      <w:r>
        <w:rPr>
          <w:b/>
          <w:bCs/>
        </w:rPr>
        <w:t xml:space="preserve"> - Målgrupp</w:t>
      </w:r>
    </w:p>
    <w:p w14:paraId="6F6169BD" w14:textId="6BEBE180" w:rsidR="00D87B1F" w:rsidRDefault="00D87B1F">
      <w:r>
        <w:t xml:space="preserve">Målgrupp - </w:t>
      </w:r>
      <w:r w:rsidRPr="00D87B1F">
        <w:t>Att individer får rätt stöd och rätt försörjning kan leda till förbättrad hälsa, livssituation och ekonomi för individen.</w:t>
      </w:r>
    </w:p>
    <w:p w14:paraId="6E3A238E" w14:textId="75706C60" w:rsidR="00D87B1F" w:rsidRDefault="00D87B1F">
      <w:pPr>
        <w:rPr>
          <w:b/>
          <w:bCs/>
        </w:rPr>
      </w:pPr>
      <w:r w:rsidRPr="00D87B1F">
        <w:rPr>
          <w:b/>
          <w:bCs/>
        </w:rPr>
        <w:t>Bild 3</w:t>
      </w:r>
      <w:r>
        <w:rPr>
          <w:b/>
          <w:bCs/>
        </w:rPr>
        <w:t xml:space="preserve"> - Behov</w:t>
      </w:r>
    </w:p>
    <w:p w14:paraId="4C508874" w14:textId="0566A32F" w:rsidR="00D87B1F" w:rsidRPr="00D87B1F" w:rsidRDefault="00D87B1F">
      <w:r w:rsidRPr="00D87B1F">
        <w:t>Behov - Parterna ser behov av ökad dialog i samverkan för att undvika att individer blir begränsade av intyg, blanketter och beslut som inte baseras på en helhet av personens förmågor och förutsättningar utifrån parternas olika ansvar och insatser.</w:t>
      </w:r>
    </w:p>
    <w:p w14:paraId="4AA8C6A1" w14:textId="4F45CD07" w:rsidR="00D87B1F" w:rsidRPr="00297BBD" w:rsidRDefault="00D87B1F">
      <w:pPr>
        <w:rPr>
          <w:b/>
          <w:bCs/>
        </w:rPr>
      </w:pPr>
      <w:r w:rsidRPr="00297BBD">
        <w:rPr>
          <w:b/>
          <w:bCs/>
        </w:rPr>
        <w:t>Bild 4 – Bakgrund och omvärldsbevakning</w:t>
      </w:r>
    </w:p>
    <w:p w14:paraId="2EC50F9E" w14:textId="2F3E1A0A" w:rsidR="00D87B1F" w:rsidRPr="00D87B1F" w:rsidRDefault="00A623F5" w:rsidP="00D87B1F">
      <w:hyperlink r:id="rId5" w:history="1">
        <w:r w:rsidR="00D87B1F">
          <w:rPr>
            <w:rStyle w:val="Hyperlnk"/>
          </w:rPr>
          <w:t>V</w:t>
        </w:r>
        <w:r w:rsidR="00D87B1F" w:rsidRPr="00D87B1F">
          <w:rPr>
            <w:rStyle w:val="Hyperlnk"/>
          </w:rPr>
          <w:t xml:space="preserve">iljeinriktning (2016) </w:t>
        </w:r>
      </w:hyperlink>
      <w:r w:rsidR="00D87B1F" w:rsidRPr="00D87B1F">
        <w:t xml:space="preserve">för parternas gemensamma arbete med målgruppen. Hitta samverkansformer för att möta behov av samordnade rehabiliteringsinsatser för att personer i målgruppen ska få det stöd som de behöver utifrån sin komplexa helhetssituation. </w:t>
      </w:r>
    </w:p>
    <w:p w14:paraId="58F4FF8E" w14:textId="2CBBA525" w:rsidR="00D87B1F" w:rsidRPr="00D87B1F" w:rsidRDefault="00D87B1F" w:rsidP="00D87B1F">
      <w:r>
        <w:t xml:space="preserve">Statens offentliga utredning </w:t>
      </w:r>
      <w:hyperlink r:id="rId6" w:history="1">
        <w:r w:rsidRPr="00D87B1F">
          <w:rPr>
            <w:rStyle w:val="Hyperlnk"/>
          </w:rPr>
          <w:t>(SOU 2020:24)</w:t>
        </w:r>
      </w:hyperlink>
      <w:r w:rsidRPr="00D87B1F">
        <w:t xml:space="preserve"> efterfrågar ett förbättrat och samordnat stöd till målgruppen för att individer ska få sin förmåga att delta i aktivitet bedömd samt ges rätt förutsättningar att kunna återgå i, eller få, ett arbete. </w:t>
      </w:r>
    </w:p>
    <w:p w14:paraId="49FCDEA6" w14:textId="55A839DE" w:rsidR="00D87B1F" w:rsidRPr="00D87B1F" w:rsidRDefault="00D87B1F" w:rsidP="00D87B1F">
      <w:r w:rsidRPr="00D87B1F">
        <w:t xml:space="preserve">Kommittédirektivet </w:t>
      </w:r>
      <w:hyperlink r:id="rId7" w:history="1">
        <w:r w:rsidRPr="00D87B1F">
          <w:rPr>
            <w:rStyle w:val="Hyperlnk"/>
          </w:rPr>
          <w:t>(Dir. 2022:124)</w:t>
        </w:r>
      </w:hyperlink>
      <w:r w:rsidRPr="00D87B1F">
        <w:t xml:space="preserve"> ska återrapporteras i december 2024 och ser, bland annat, över hur ett utökat ansvar bör utformas</w:t>
      </w:r>
      <w:r>
        <w:t>.</w:t>
      </w:r>
    </w:p>
    <w:p w14:paraId="04F66E02" w14:textId="4A5E2CDF" w:rsidR="00D87B1F" w:rsidRDefault="00D87B1F" w:rsidP="00D87B1F">
      <w:r w:rsidRPr="00D87B1F">
        <w:t xml:space="preserve">Utredningsuppdraget </w:t>
      </w:r>
      <w:hyperlink r:id="rId8" w:history="1">
        <w:r w:rsidRPr="00D87B1F">
          <w:rPr>
            <w:rStyle w:val="Hyperlnk"/>
          </w:rPr>
          <w:t xml:space="preserve">(S 2022:E) </w:t>
        </w:r>
      </w:hyperlink>
      <w:r w:rsidRPr="00D87B1F">
        <w:t xml:space="preserve"> beräknas vara slutfört i april 2024 och kan påverka målgruppen och parternas ansvar samt behov av samordnat stöd till individer.</w:t>
      </w:r>
    </w:p>
    <w:p w14:paraId="5FAB620C" w14:textId="39B8D985" w:rsidR="00297BBD" w:rsidRDefault="00297BBD" w:rsidP="00297BBD">
      <w:r>
        <w:t>SKR har under 2023 bjudit in en referensgrupp med uppdrag att samla ihop goda exempel och göra gemensam kartläggning utifrån vad som redan görs för målgruppen. Pernilla Conradsson Ström, arbetsterapeut i Tranås kommun och Samverkanskoordinator, deltar från Höglandet. Referensgruppen för en dialog om målgruppsdefinition utifrån att parterna ser olika utmaningar. Det finns en enighet om vikten av en personcentrerad process med en uppdaterad rehabiliteringsplan.</w:t>
      </w:r>
    </w:p>
    <w:p w14:paraId="42E05FC3" w14:textId="5FB7FCB4" w:rsidR="00D87B1F" w:rsidRPr="00297BBD" w:rsidRDefault="00D87B1F">
      <w:pPr>
        <w:rPr>
          <w:b/>
          <w:bCs/>
        </w:rPr>
      </w:pPr>
      <w:r w:rsidRPr="00297BBD">
        <w:rPr>
          <w:b/>
          <w:bCs/>
        </w:rPr>
        <w:t>Bild 5</w:t>
      </w:r>
      <w:r w:rsidR="00297BBD" w:rsidRPr="00297BBD">
        <w:rPr>
          <w:b/>
          <w:bCs/>
        </w:rPr>
        <w:t xml:space="preserve"> – Syfte</w:t>
      </w:r>
    </w:p>
    <w:p w14:paraId="6347F5D7" w14:textId="77777777" w:rsidR="00297BBD" w:rsidRPr="00297BBD" w:rsidRDefault="00297BBD" w:rsidP="00297BBD">
      <w:r w:rsidRPr="00297BBD">
        <w:rPr>
          <w:b/>
          <w:bCs/>
        </w:rPr>
        <w:t xml:space="preserve">Hitta former för samverkan </w:t>
      </w:r>
      <w:r w:rsidRPr="00297BBD">
        <w:t>för att säkerställa att personer i målgruppen får det stöd och möjlighet till den rehabilitering som de behöver.</w:t>
      </w:r>
    </w:p>
    <w:p w14:paraId="5AAF31AA" w14:textId="77777777" w:rsidR="00297BBD" w:rsidRPr="00297BBD" w:rsidRDefault="00297BBD" w:rsidP="00297BBD">
      <w:r w:rsidRPr="00297BBD">
        <w:rPr>
          <w:b/>
          <w:bCs/>
        </w:rPr>
        <w:t>Öka kunskapen om roller och ansvar för målgruppen</w:t>
      </w:r>
      <w:r w:rsidRPr="00297BBD">
        <w:t>, samt säkerställa att parternas resurser används så effektivt som möjligt för att ge personer i målgruppen goda förutsättningar.</w:t>
      </w:r>
    </w:p>
    <w:p w14:paraId="0E112A91" w14:textId="74EBFF37" w:rsidR="00297BBD" w:rsidRPr="00297BBD" w:rsidRDefault="00297BBD" w:rsidP="00297BBD">
      <w:r w:rsidRPr="00297BBD">
        <w:rPr>
          <w:b/>
          <w:bCs/>
        </w:rPr>
        <w:t>Säkerställa att individer i målgruppen får rätt stöd av rätt instans vid rätt tillfälle</w:t>
      </w:r>
      <w:r w:rsidRPr="00297BBD">
        <w:t>. Personer i målgruppen ska uppleva att alla parter arbetar utifrån samma modell och tar gemensamt ansvar.</w:t>
      </w:r>
    </w:p>
    <w:p w14:paraId="151DE75B" w14:textId="77777777" w:rsidR="00297BBD" w:rsidRDefault="00297BBD"/>
    <w:p w14:paraId="1FB3BEAD" w14:textId="4F349C27" w:rsidR="00D87B1F" w:rsidRPr="00863DC4" w:rsidRDefault="00D87B1F">
      <w:pPr>
        <w:rPr>
          <w:b/>
          <w:bCs/>
        </w:rPr>
      </w:pPr>
      <w:r w:rsidRPr="00863DC4">
        <w:rPr>
          <w:b/>
          <w:bCs/>
        </w:rPr>
        <w:lastRenderedPageBreak/>
        <w:t>Bild 6</w:t>
      </w:r>
      <w:r w:rsidR="00297BBD" w:rsidRPr="00863DC4">
        <w:rPr>
          <w:b/>
          <w:bCs/>
        </w:rPr>
        <w:t xml:space="preserve"> – Modellens innehåll</w:t>
      </w:r>
    </w:p>
    <w:p w14:paraId="488CAC2A" w14:textId="77777777" w:rsidR="00863DC4" w:rsidRDefault="00863DC4">
      <w:r>
        <w:t xml:space="preserve">Länets 13 kommuner har olika lokala förutsättningar, exempelvis socioekonomi, invånarantal och antal vårdcentraler.  Kommunerna är också organiserade på olika sätt, exempelvis arbetsmarknadsenheter. </w:t>
      </w:r>
    </w:p>
    <w:p w14:paraId="6DBC3141" w14:textId="2E31873F" w:rsidR="00863DC4" w:rsidRDefault="00863DC4">
      <w:r>
        <w:t xml:space="preserve">Modellen är ett ramverk som behöver anpassas utifrån lokala förutsättningar. Implementering av samverkansmodellen och lokala rutiner kan se olika ut. Att ha en gemensam grundprocess underlättar för Arbetsförmedling, Försäkringskassa och Region som arbetar länsövergripande och är samverkanspart till samtliga 13 kommuner. </w:t>
      </w:r>
    </w:p>
    <w:p w14:paraId="5C2448A6" w14:textId="768F8ACC" w:rsidR="00D87B1F" w:rsidRPr="000E0D60" w:rsidRDefault="00D87B1F">
      <w:pPr>
        <w:rPr>
          <w:b/>
          <w:bCs/>
        </w:rPr>
      </w:pPr>
      <w:r w:rsidRPr="000E0D60">
        <w:rPr>
          <w:b/>
          <w:bCs/>
        </w:rPr>
        <w:t>Bild 7</w:t>
      </w:r>
      <w:r w:rsidR="00863DC4" w:rsidRPr="000E0D60">
        <w:rPr>
          <w:b/>
          <w:bCs/>
        </w:rPr>
        <w:t xml:space="preserve"> – Individfokuserad processkarta</w:t>
      </w:r>
    </w:p>
    <w:p w14:paraId="7BCCA16D" w14:textId="041217D3" w:rsidR="00863DC4" w:rsidRDefault="00863DC4">
      <w:r>
        <w:t>Samverkansmodellen bygger på en individfokuserad process utifrån personens (ofta komplexa) situation. Rätt stöd rätt försörjning implementerar processen med upprättande av samordnad individuell plan (SIP) och flerpartsmöte som kommunikationsväg</w:t>
      </w:r>
      <w:r w:rsidR="000E0D60">
        <w:t>ar</w:t>
      </w:r>
      <w:r>
        <w:t xml:space="preserve"> i samverkan i</w:t>
      </w:r>
      <w:r w:rsidR="000E0D60">
        <w:t xml:space="preserve"> </w:t>
      </w:r>
      <w:r>
        <w:t xml:space="preserve">stället för </w:t>
      </w:r>
      <w:r w:rsidR="000E0D60">
        <w:t>intyg, blanketter och beslut som inte baseras på en helhet av personens förmågor och förutsättningar utifrån parternas olika ansvar och insatser.</w:t>
      </w:r>
    </w:p>
    <w:p w14:paraId="4528BD50" w14:textId="78B14D23" w:rsidR="000E0D60" w:rsidRPr="002F7C83" w:rsidRDefault="000E0D60">
      <w:pPr>
        <w:rPr>
          <w:b/>
          <w:bCs/>
        </w:rPr>
      </w:pPr>
      <w:r w:rsidRPr="002F7C83">
        <w:rPr>
          <w:b/>
          <w:bCs/>
        </w:rPr>
        <w:t>Bild 8 - Parternas ansvar och uppdrag i förhållande tillmålgruppen</w:t>
      </w:r>
    </w:p>
    <w:p w14:paraId="1FD4647E" w14:textId="5F198759" w:rsidR="005E758C" w:rsidRDefault="000E0D60" w:rsidP="005E758C">
      <w:r>
        <w:t>Vi vill samverka!</w:t>
      </w:r>
      <w:r w:rsidR="005E758C">
        <w:t xml:space="preserve"> Vi måste ha förståelse och respekt för vårt eget och andras uppdrag och ansvar, men också vara beredda att möta upp för att överbrygga glappen.</w:t>
      </w:r>
    </w:p>
    <w:p w14:paraId="63CA2C10" w14:textId="6DC3BD9B" w:rsidR="005E758C" w:rsidRDefault="005E758C">
      <w:r>
        <w:t>Organisationerna och medarbetare som möter målgruppen måste k</w:t>
      </w:r>
      <w:r w:rsidRPr="005E758C">
        <w:t>roka arm för att göra det bästa för individen utifrån givna förutsättningar</w:t>
      </w:r>
      <w:r>
        <w:t xml:space="preserve">; politiskt styrda organisationer (lagar, förordningar och regleringsbrev) samt samhällets gemensamma resurser (både tid och pengar). </w:t>
      </w:r>
    </w:p>
    <w:p w14:paraId="082A5026" w14:textId="77777777" w:rsidR="000E0D60" w:rsidRDefault="000E0D60">
      <w:r>
        <w:t xml:space="preserve">I samverkan kan vi säkerställa </w:t>
      </w:r>
    </w:p>
    <w:p w14:paraId="44E92316" w14:textId="5A518251" w:rsidR="000E0D60" w:rsidRDefault="00297BBD" w:rsidP="000E0D60">
      <w:pPr>
        <w:pStyle w:val="Liststycke"/>
        <w:numPr>
          <w:ilvl w:val="0"/>
          <w:numId w:val="4"/>
        </w:numPr>
      </w:pPr>
      <w:r w:rsidRPr="00297BBD">
        <w:t>att personer i målgruppen får det stöd och möjlighet till den rehabilitering som de behöver.</w:t>
      </w:r>
    </w:p>
    <w:p w14:paraId="040154B5" w14:textId="76D5F1D7" w:rsidR="000E0D60" w:rsidRDefault="00297BBD" w:rsidP="000E0D60">
      <w:pPr>
        <w:pStyle w:val="Liststycke"/>
        <w:numPr>
          <w:ilvl w:val="0"/>
          <w:numId w:val="4"/>
        </w:numPr>
      </w:pPr>
      <w:r w:rsidRPr="00297BBD">
        <w:t>att parternas resurser används så effektivt som möjligt för att ge personer i målgruppen goda förutsättningar.</w:t>
      </w:r>
    </w:p>
    <w:p w14:paraId="08ABCA2F" w14:textId="27B9E06A" w:rsidR="000E0D60" w:rsidRDefault="000E0D60" w:rsidP="000E0D60">
      <w:pPr>
        <w:pStyle w:val="Liststycke"/>
        <w:numPr>
          <w:ilvl w:val="0"/>
          <w:numId w:val="4"/>
        </w:numPr>
      </w:pPr>
      <w:r>
        <w:t>att individen får rätt stöd från rätt instans vid rätt tillfälle.</w:t>
      </w:r>
    </w:p>
    <w:p w14:paraId="3F8DE275" w14:textId="363EAF03" w:rsidR="000E0D60" w:rsidRDefault="000E0D60" w:rsidP="000E0D60">
      <w:pPr>
        <w:pStyle w:val="Liststycke"/>
        <w:numPr>
          <w:ilvl w:val="0"/>
          <w:numId w:val="4"/>
        </w:numPr>
      </w:pPr>
      <w:r>
        <w:t>att p</w:t>
      </w:r>
      <w:r w:rsidR="00297BBD" w:rsidRPr="00297BBD">
        <w:t xml:space="preserve">ersoner i målgruppen </w:t>
      </w:r>
      <w:r>
        <w:t xml:space="preserve">upplever </w:t>
      </w:r>
      <w:r w:rsidR="00297BBD" w:rsidRPr="00297BBD">
        <w:t>att alla parter arbetar utifrån samma modell och tar gemensamt ansvar</w:t>
      </w:r>
      <w:r w:rsidRPr="00297BBD">
        <w:t>.</w:t>
      </w:r>
    </w:p>
    <w:p w14:paraId="1DCCE9E6" w14:textId="546EEA6E" w:rsidR="000E0D60" w:rsidRDefault="000E0D60" w:rsidP="000E0D60">
      <w:r>
        <w:t>Syftet med samverkansmodellen kan uppnås genom samverkan.</w:t>
      </w:r>
    </w:p>
    <w:p w14:paraId="044C2014" w14:textId="77777777" w:rsidR="00A623F5" w:rsidRDefault="001D3B74" w:rsidP="001D3B74">
      <w:r>
        <w:t>Implementering</w:t>
      </w:r>
      <w:r>
        <w:t xml:space="preserve"> av modellen</w:t>
      </w:r>
      <w:r>
        <w:t xml:space="preserve"> innebär </w:t>
      </w:r>
    </w:p>
    <w:p w14:paraId="105323F1" w14:textId="77777777" w:rsidR="00A623F5" w:rsidRDefault="00A623F5" w:rsidP="00A623F5">
      <w:pPr>
        <w:pStyle w:val="Liststycke"/>
        <w:numPr>
          <w:ilvl w:val="0"/>
          <w:numId w:val="8"/>
        </w:numPr>
      </w:pPr>
      <w:r>
        <w:t>N</w:t>
      </w:r>
      <w:r w:rsidR="001D3B74">
        <w:t xml:space="preserve">ärmare samarbete mellan kommun och vårdcentral gällande individer i målgruppen. </w:t>
      </w:r>
    </w:p>
    <w:p w14:paraId="452655A4" w14:textId="0F1EE322" w:rsidR="00A623F5" w:rsidRDefault="00A623F5" w:rsidP="00A623F5">
      <w:pPr>
        <w:pStyle w:val="Liststycke"/>
        <w:numPr>
          <w:ilvl w:val="0"/>
          <w:numId w:val="8"/>
        </w:numPr>
      </w:pPr>
      <w:r>
        <w:t>K</w:t>
      </w:r>
      <w:r w:rsidR="001D3B74">
        <w:t>an</w:t>
      </w:r>
      <w:r w:rsidR="001D3B74">
        <w:t xml:space="preserve"> initialt kräva mer tid av rehabkoordinatorer/vårdsamordnare på </w:t>
      </w:r>
      <w:r w:rsidR="001D3B74">
        <w:t xml:space="preserve">länets </w:t>
      </w:r>
      <w:r w:rsidR="001D3B74">
        <w:t>vårdcentrale</w:t>
      </w:r>
      <w:r>
        <w:t>r</w:t>
      </w:r>
      <w:r w:rsidR="001D3B74">
        <w:t>.</w:t>
      </w:r>
      <w:r w:rsidR="001D3B74">
        <w:t xml:space="preserve"> </w:t>
      </w:r>
    </w:p>
    <w:p w14:paraId="3E245E3F" w14:textId="4B371CE8" w:rsidR="001D3B74" w:rsidRDefault="00A623F5" w:rsidP="00A623F5">
      <w:pPr>
        <w:pStyle w:val="Liststycke"/>
        <w:numPr>
          <w:ilvl w:val="0"/>
          <w:numId w:val="8"/>
        </w:numPr>
      </w:pPr>
      <w:r>
        <w:t>Kan i</w:t>
      </w:r>
      <w:r w:rsidR="001D3B74">
        <w:t xml:space="preserve">nitialt </w:t>
      </w:r>
      <w:r w:rsidR="001D3B74">
        <w:t>leda till fler ansökningar om sjukersättning.</w:t>
      </w:r>
    </w:p>
    <w:p w14:paraId="50327BD4" w14:textId="3853B1B6" w:rsidR="00715068" w:rsidRPr="00715068" w:rsidRDefault="00715068" w:rsidP="00715068">
      <w:pPr>
        <w:rPr>
          <w:b/>
          <w:bCs/>
        </w:rPr>
      </w:pPr>
      <w:r w:rsidRPr="00715068">
        <w:rPr>
          <w:b/>
          <w:bCs/>
        </w:rPr>
        <w:t>Bild 9 – Frågor som stöd i dialog och gemensam planering av insatser</w:t>
      </w:r>
    </w:p>
    <w:p w14:paraId="7DD55E6B" w14:textId="7A10979D" w:rsidR="00715068" w:rsidRDefault="00715068" w:rsidP="00715068">
      <w:r>
        <w:t>Frågorna ska ses som ett stöd och kan komplettera samt nyansera SIP-blanketten utifrån individens behov och förutsättningar.</w:t>
      </w:r>
    </w:p>
    <w:p w14:paraId="7E365C97" w14:textId="5BC59B3A" w:rsidR="00715068" w:rsidRDefault="00715068" w:rsidP="00715068">
      <w:r w:rsidRPr="00715068">
        <w:t xml:space="preserve">Socialtjänsten motsvarar personens arbetsgivare vid reguljär arbetslivsinriktad rehabilitering. Fundera på om sjukskrivning på deltid kan skapa bäst förutsättningar för personen. </w:t>
      </w:r>
      <w:r>
        <w:t>En sjukskrivning på heltid riskerar att begränsa individens möjligheter till rehabilitering.</w:t>
      </w:r>
    </w:p>
    <w:p w14:paraId="1B45616A" w14:textId="380B966B" w:rsidR="00D87B1F" w:rsidRPr="00CC2F4C" w:rsidRDefault="00CC2F4C">
      <w:pPr>
        <w:rPr>
          <w:b/>
          <w:bCs/>
        </w:rPr>
      </w:pPr>
      <w:r w:rsidRPr="00CC2F4C">
        <w:rPr>
          <w:b/>
          <w:bCs/>
        </w:rPr>
        <w:t>Bild 10 – Bilagor</w:t>
      </w:r>
    </w:p>
    <w:p w14:paraId="3BB42B12" w14:textId="227C59CC" w:rsidR="00CC2F4C" w:rsidRDefault="00CC2F4C">
      <w:r>
        <w:lastRenderedPageBreak/>
        <w:t>Bilagorna kan vara ett stöd och inspiration för implementering och upprättande av lokal rutin utifrån samverkansmodellen. Bilagorna är exempel på hur Tranås, Jönköping och Gävle kommun jobbar med målgruppen.</w:t>
      </w:r>
    </w:p>
    <w:p w14:paraId="084C12C4" w14:textId="6978A931" w:rsidR="004D6905" w:rsidRPr="004D6905" w:rsidRDefault="004D6905">
      <w:pPr>
        <w:rPr>
          <w:b/>
          <w:bCs/>
        </w:rPr>
      </w:pPr>
      <w:r w:rsidRPr="004D6905">
        <w:rPr>
          <w:b/>
          <w:bCs/>
        </w:rPr>
        <w:t>Bild 11 – Ansvar för dokumentet</w:t>
      </w:r>
    </w:p>
    <w:sectPr w:rsidR="004D6905" w:rsidRPr="004D6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797"/>
    <w:multiLevelType w:val="hybridMultilevel"/>
    <w:tmpl w:val="3DB4A94C"/>
    <w:lvl w:ilvl="0" w:tplc="471C8AB2">
      <w:start w:val="1"/>
      <w:numFmt w:val="bullet"/>
      <w:lvlText w:val="•"/>
      <w:lvlJc w:val="left"/>
      <w:pPr>
        <w:tabs>
          <w:tab w:val="num" w:pos="720"/>
        </w:tabs>
        <w:ind w:left="720" w:hanging="360"/>
      </w:pPr>
      <w:rPr>
        <w:rFonts w:ascii="Arial" w:hAnsi="Arial" w:hint="default"/>
      </w:rPr>
    </w:lvl>
    <w:lvl w:ilvl="1" w:tplc="58F88E5C" w:tentative="1">
      <w:start w:val="1"/>
      <w:numFmt w:val="bullet"/>
      <w:lvlText w:val="•"/>
      <w:lvlJc w:val="left"/>
      <w:pPr>
        <w:tabs>
          <w:tab w:val="num" w:pos="1440"/>
        </w:tabs>
        <w:ind w:left="1440" w:hanging="360"/>
      </w:pPr>
      <w:rPr>
        <w:rFonts w:ascii="Arial" w:hAnsi="Arial" w:hint="default"/>
      </w:rPr>
    </w:lvl>
    <w:lvl w:ilvl="2" w:tplc="C4D8099C" w:tentative="1">
      <w:start w:val="1"/>
      <w:numFmt w:val="bullet"/>
      <w:lvlText w:val="•"/>
      <w:lvlJc w:val="left"/>
      <w:pPr>
        <w:tabs>
          <w:tab w:val="num" w:pos="2160"/>
        </w:tabs>
        <w:ind w:left="2160" w:hanging="360"/>
      </w:pPr>
      <w:rPr>
        <w:rFonts w:ascii="Arial" w:hAnsi="Arial" w:hint="default"/>
      </w:rPr>
    </w:lvl>
    <w:lvl w:ilvl="3" w:tplc="05ACD7E2" w:tentative="1">
      <w:start w:val="1"/>
      <w:numFmt w:val="bullet"/>
      <w:lvlText w:val="•"/>
      <w:lvlJc w:val="left"/>
      <w:pPr>
        <w:tabs>
          <w:tab w:val="num" w:pos="2880"/>
        </w:tabs>
        <w:ind w:left="2880" w:hanging="360"/>
      </w:pPr>
      <w:rPr>
        <w:rFonts w:ascii="Arial" w:hAnsi="Arial" w:hint="default"/>
      </w:rPr>
    </w:lvl>
    <w:lvl w:ilvl="4" w:tplc="982A2D92" w:tentative="1">
      <w:start w:val="1"/>
      <w:numFmt w:val="bullet"/>
      <w:lvlText w:val="•"/>
      <w:lvlJc w:val="left"/>
      <w:pPr>
        <w:tabs>
          <w:tab w:val="num" w:pos="3600"/>
        </w:tabs>
        <w:ind w:left="3600" w:hanging="360"/>
      </w:pPr>
      <w:rPr>
        <w:rFonts w:ascii="Arial" w:hAnsi="Arial" w:hint="default"/>
      </w:rPr>
    </w:lvl>
    <w:lvl w:ilvl="5" w:tplc="9D82004A" w:tentative="1">
      <w:start w:val="1"/>
      <w:numFmt w:val="bullet"/>
      <w:lvlText w:val="•"/>
      <w:lvlJc w:val="left"/>
      <w:pPr>
        <w:tabs>
          <w:tab w:val="num" w:pos="4320"/>
        </w:tabs>
        <w:ind w:left="4320" w:hanging="360"/>
      </w:pPr>
      <w:rPr>
        <w:rFonts w:ascii="Arial" w:hAnsi="Arial" w:hint="default"/>
      </w:rPr>
    </w:lvl>
    <w:lvl w:ilvl="6" w:tplc="64B4D35C" w:tentative="1">
      <w:start w:val="1"/>
      <w:numFmt w:val="bullet"/>
      <w:lvlText w:val="•"/>
      <w:lvlJc w:val="left"/>
      <w:pPr>
        <w:tabs>
          <w:tab w:val="num" w:pos="5040"/>
        </w:tabs>
        <w:ind w:left="5040" w:hanging="360"/>
      </w:pPr>
      <w:rPr>
        <w:rFonts w:ascii="Arial" w:hAnsi="Arial" w:hint="default"/>
      </w:rPr>
    </w:lvl>
    <w:lvl w:ilvl="7" w:tplc="1EEA8250" w:tentative="1">
      <w:start w:val="1"/>
      <w:numFmt w:val="bullet"/>
      <w:lvlText w:val="•"/>
      <w:lvlJc w:val="left"/>
      <w:pPr>
        <w:tabs>
          <w:tab w:val="num" w:pos="5760"/>
        </w:tabs>
        <w:ind w:left="5760" w:hanging="360"/>
      </w:pPr>
      <w:rPr>
        <w:rFonts w:ascii="Arial" w:hAnsi="Arial" w:hint="default"/>
      </w:rPr>
    </w:lvl>
    <w:lvl w:ilvl="8" w:tplc="A56A74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6742C1"/>
    <w:multiLevelType w:val="hybridMultilevel"/>
    <w:tmpl w:val="3EAA5432"/>
    <w:lvl w:ilvl="0" w:tplc="80A6DEE0">
      <w:start w:val="1"/>
      <w:numFmt w:val="bullet"/>
      <w:lvlText w:val="•"/>
      <w:lvlJc w:val="left"/>
      <w:pPr>
        <w:tabs>
          <w:tab w:val="num" w:pos="720"/>
        </w:tabs>
        <w:ind w:left="720" w:hanging="360"/>
      </w:pPr>
      <w:rPr>
        <w:rFonts w:ascii="Arial" w:hAnsi="Arial" w:hint="default"/>
      </w:rPr>
    </w:lvl>
    <w:lvl w:ilvl="1" w:tplc="CE36653E" w:tentative="1">
      <w:start w:val="1"/>
      <w:numFmt w:val="bullet"/>
      <w:lvlText w:val="•"/>
      <w:lvlJc w:val="left"/>
      <w:pPr>
        <w:tabs>
          <w:tab w:val="num" w:pos="1440"/>
        </w:tabs>
        <w:ind w:left="1440" w:hanging="360"/>
      </w:pPr>
      <w:rPr>
        <w:rFonts w:ascii="Arial" w:hAnsi="Arial" w:hint="default"/>
      </w:rPr>
    </w:lvl>
    <w:lvl w:ilvl="2" w:tplc="90BC02FE" w:tentative="1">
      <w:start w:val="1"/>
      <w:numFmt w:val="bullet"/>
      <w:lvlText w:val="•"/>
      <w:lvlJc w:val="left"/>
      <w:pPr>
        <w:tabs>
          <w:tab w:val="num" w:pos="2160"/>
        </w:tabs>
        <w:ind w:left="2160" w:hanging="360"/>
      </w:pPr>
      <w:rPr>
        <w:rFonts w:ascii="Arial" w:hAnsi="Arial" w:hint="default"/>
      </w:rPr>
    </w:lvl>
    <w:lvl w:ilvl="3" w:tplc="32D8DA2C" w:tentative="1">
      <w:start w:val="1"/>
      <w:numFmt w:val="bullet"/>
      <w:lvlText w:val="•"/>
      <w:lvlJc w:val="left"/>
      <w:pPr>
        <w:tabs>
          <w:tab w:val="num" w:pos="2880"/>
        </w:tabs>
        <w:ind w:left="2880" w:hanging="360"/>
      </w:pPr>
      <w:rPr>
        <w:rFonts w:ascii="Arial" w:hAnsi="Arial" w:hint="default"/>
      </w:rPr>
    </w:lvl>
    <w:lvl w:ilvl="4" w:tplc="47FACC3C" w:tentative="1">
      <w:start w:val="1"/>
      <w:numFmt w:val="bullet"/>
      <w:lvlText w:val="•"/>
      <w:lvlJc w:val="left"/>
      <w:pPr>
        <w:tabs>
          <w:tab w:val="num" w:pos="3600"/>
        </w:tabs>
        <w:ind w:left="3600" w:hanging="360"/>
      </w:pPr>
      <w:rPr>
        <w:rFonts w:ascii="Arial" w:hAnsi="Arial" w:hint="default"/>
      </w:rPr>
    </w:lvl>
    <w:lvl w:ilvl="5" w:tplc="A00EC4F8" w:tentative="1">
      <w:start w:val="1"/>
      <w:numFmt w:val="bullet"/>
      <w:lvlText w:val="•"/>
      <w:lvlJc w:val="left"/>
      <w:pPr>
        <w:tabs>
          <w:tab w:val="num" w:pos="4320"/>
        </w:tabs>
        <w:ind w:left="4320" w:hanging="360"/>
      </w:pPr>
      <w:rPr>
        <w:rFonts w:ascii="Arial" w:hAnsi="Arial" w:hint="default"/>
      </w:rPr>
    </w:lvl>
    <w:lvl w:ilvl="6" w:tplc="D51A00D0" w:tentative="1">
      <w:start w:val="1"/>
      <w:numFmt w:val="bullet"/>
      <w:lvlText w:val="•"/>
      <w:lvlJc w:val="left"/>
      <w:pPr>
        <w:tabs>
          <w:tab w:val="num" w:pos="5040"/>
        </w:tabs>
        <w:ind w:left="5040" w:hanging="360"/>
      </w:pPr>
      <w:rPr>
        <w:rFonts w:ascii="Arial" w:hAnsi="Arial" w:hint="default"/>
      </w:rPr>
    </w:lvl>
    <w:lvl w:ilvl="7" w:tplc="96DAB10A" w:tentative="1">
      <w:start w:val="1"/>
      <w:numFmt w:val="bullet"/>
      <w:lvlText w:val="•"/>
      <w:lvlJc w:val="left"/>
      <w:pPr>
        <w:tabs>
          <w:tab w:val="num" w:pos="5760"/>
        </w:tabs>
        <w:ind w:left="5760" w:hanging="360"/>
      </w:pPr>
      <w:rPr>
        <w:rFonts w:ascii="Arial" w:hAnsi="Arial" w:hint="default"/>
      </w:rPr>
    </w:lvl>
    <w:lvl w:ilvl="8" w:tplc="7B644A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2D3D36"/>
    <w:multiLevelType w:val="hybridMultilevel"/>
    <w:tmpl w:val="26468D2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A77153B"/>
    <w:multiLevelType w:val="hybridMultilevel"/>
    <w:tmpl w:val="34283664"/>
    <w:lvl w:ilvl="0" w:tplc="F3F8FD46">
      <w:start w:val="1"/>
      <w:numFmt w:val="bullet"/>
      <w:lvlText w:val="•"/>
      <w:lvlJc w:val="left"/>
      <w:pPr>
        <w:tabs>
          <w:tab w:val="num" w:pos="720"/>
        </w:tabs>
        <w:ind w:left="720" w:hanging="360"/>
      </w:pPr>
      <w:rPr>
        <w:rFonts w:ascii="Arial" w:hAnsi="Arial" w:hint="default"/>
      </w:rPr>
    </w:lvl>
    <w:lvl w:ilvl="1" w:tplc="2C46E822" w:tentative="1">
      <w:start w:val="1"/>
      <w:numFmt w:val="bullet"/>
      <w:lvlText w:val="•"/>
      <w:lvlJc w:val="left"/>
      <w:pPr>
        <w:tabs>
          <w:tab w:val="num" w:pos="1440"/>
        </w:tabs>
        <w:ind w:left="1440" w:hanging="360"/>
      </w:pPr>
      <w:rPr>
        <w:rFonts w:ascii="Arial" w:hAnsi="Arial" w:hint="default"/>
      </w:rPr>
    </w:lvl>
    <w:lvl w:ilvl="2" w:tplc="F67EF1DC" w:tentative="1">
      <w:start w:val="1"/>
      <w:numFmt w:val="bullet"/>
      <w:lvlText w:val="•"/>
      <w:lvlJc w:val="left"/>
      <w:pPr>
        <w:tabs>
          <w:tab w:val="num" w:pos="2160"/>
        </w:tabs>
        <w:ind w:left="2160" w:hanging="360"/>
      </w:pPr>
      <w:rPr>
        <w:rFonts w:ascii="Arial" w:hAnsi="Arial" w:hint="default"/>
      </w:rPr>
    </w:lvl>
    <w:lvl w:ilvl="3" w:tplc="4442F2EC" w:tentative="1">
      <w:start w:val="1"/>
      <w:numFmt w:val="bullet"/>
      <w:lvlText w:val="•"/>
      <w:lvlJc w:val="left"/>
      <w:pPr>
        <w:tabs>
          <w:tab w:val="num" w:pos="2880"/>
        </w:tabs>
        <w:ind w:left="2880" w:hanging="360"/>
      </w:pPr>
      <w:rPr>
        <w:rFonts w:ascii="Arial" w:hAnsi="Arial" w:hint="default"/>
      </w:rPr>
    </w:lvl>
    <w:lvl w:ilvl="4" w:tplc="C6C06AA0" w:tentative="1">
      <w:start w:val="1"/>
      <w:numFmt w:val="bullet"/>
      <w:lvlText w:val="•"/>
      <w:lvlJc w:val="left"/>
      <w:pPr>
        <w:tabs>
          <w:tab w:val="num" w:pos="3600"/>
        </w:tabs>
        <w:ind w:left="3600" w:hanging="360"/>
      </w:pPr>
      <w:rPr>
        <w:rFonts w:ascii="Arial" w:hAnsi="Arial" w:hint="default"/>
      </w:rPr>
    </w:lvl>
    <w:lvl w:ilvl="5" w:tplc="08B66ADA" w:tentative="1">
      <w:start w:val="1"/>
      <w:numFmt w:val="bullet"/>
      <w:lvlText w:val="•"/>
      <w:lvlJc w:val="left"/>
      <w:pPr>
        <w:tabs>
          <w:tab w:val="num" w:pos="4320"/>
        </w:tabs>
        <w:ind w:left="4320" w:hanging="360"/>
      </w:pPr>
      <w:rPr>
        <w:rFonts w:ascii="Arial" w:hAnsi="Arial" w:hint="default"/>
      </w:rPr>
    </w:lvl>
    <w:lvl w:ilvl="6" w:tplc="C896DC18" w:tentative="1">
      <w:start w:val="1"/>
      <w:numFmt w:val="bullet"/>
      <w:lvlText w:val="•"/>
      <w:lvlJc w:val="left"/>
      <w:pPr>
        <w:tabs>
          <w:tab w:val="num" w:pos="5040"/>
        </w:tabs>
        <w:ind w:left="5040" w:hanging="360"/>
      </w:pPr>
      <w:rPr>
        <w:rFonts w:ascii="Arial" w:hAnsi="Arial" w:hint="default"/>
      </w:rPr>
    </w:lvl>
    <w:lvl w:ilvl="7" w:tplc="2DEC1898" w:tentative="1">
      <w:start w:val="1"/>
      <w:numFmt w:val="bullet"/>
      <w:lvlText w:val="•"/>
      <w:lvlJc w:val="left"/>
      <w:pPr>
        <w:tabs>
          <w:tab w:val="num" w:pos="5760"/>
        </w:tabs>
        <w:ind w:left="5760" w:hanging="360"/>
      </w:pPr>
      <w:rPr>
        <w:rFonts w:ascii="Arial" w:hAnsi="Arial" w:hint="default"/>
      </w:rPr>
    </w:lvl>
    <w:lvl w:ilvl="8" w:tplc="E856BA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231C7C"/>
    <w:multiLevelType w:val="hybridMultilevel"/>
    <w:tmpl w:val="DEE6D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29F0C82"/>
    <w:multiLevelType w:val="hybridMultilevel"/>
    <w:tmpl w:val="F77E286A"/>
    <w:lvl w:ilvl="0" w:tplc="F6FA875E">
      <w:start w:val="1"/>
      <w:numFmt w:val="bullet"/>
      <w:lvlText w:val="•"/>
      <w:lvlJc w:val="left"/>
      <w:pPr>
        <w:tabs>
          <w:tab w:val="num" w:pos="720"/>
        </w:tabs>
        <w:ind w:left="720" w:hanging="360"/>
      </w:pPr>
      <w:rPr>
        <w:rFonts w:ascii="Arial" w:hAnsi="Arial" w:hint="default"/>
      </w:rPr>
    </w:lvl>
    <w:lvl w:ilvl="1" w:tplc="9EFCBF2E" w:tentative="1">
      <w:start w:val="1"/>
      <w:numFmt w:val="bullet"/>
      <w:lvlText w:val="•"/>
      <w:lvlJc w:val="left"/>
      <w:pPr>
        <w:tabs>
          <w:tab w:val="num" w:pos="1440"/>
        </w:tabs>
        <w:ind w:left="1440" w:hanging="360"/>
      </w:pPr>
      <w:rPr>
        <w:rFonts w:ascii="Arial" w:hAnsi="Arial" w:hint="default"/>
      </w:rPr>
    </w:lvl>
    <w:lvl w:ilvl="2" w:tplc="C0EC8DF0" w:tentative="1">
      <w:start w:val="1"/>
      <w:numFmt w:val="bullet"/>
      <w:lvlText w:val="•"/>
      <w:lvlJc w:val="left"/>
      <w:pPr>
        <w:tabs>
          <w:tab w:val="num" w:pos="2160"/>
        </w:tabs>
        <w:ind w:left="2160" w:hanging="360"/>
      </w:pPr>
      <w:rPr>
        <w:rFonts w:ascii="Arial" w:hAnsi="Arial" w:hint="default"/>
      </w:rPr>
    </w:lvl>
    <w:lvl w:ilvl="3" w:tplc="C6A40B8A" w:tentative="1">
      <w:start w:val="1"/>
      <w:numFmt w:val="bullet"/>
      <w:lvlText w:val="•"/>
      <w:lvlJc w:val="left"/>
      <w:pPr>
        <w:tabs>
          <w:tab w:val="num" w:pos="2880"/>
        </w:tabs>
        <w:ind w:left="2880" w:hanging="360"/>
      </w:pPr>
      <w:rPr>
        <w:rFonts w:ascii="Arial" w:hAnsi="Arial" w:hint="default"/>
      </w:rPr>
    </w:lvl>
    <w:lvl w:ilvl="4" w:tplc="31F4C452" w:tentative="1">
      <w:start w:val="1"/>
      <w:numFmt w:val="bullet"/>
      <w:lvlText w:val="•"/>
      <w:lvlJc w:val="left"/>
      <w:pPr>
        <w:tabs>
          <w:tab w:val="num" w:pos="3600"/>
        </w:tabs>
        <w:ind w:left="3600" w:hanging="360"/>
      </w:pPr>
      <w:rPr>
        <w:rFonts w:ascii="Arial" w:hAnsi="Arial" w:hint="default"/>
      </w:rPr>
    </w:lvl>
    <w:lvl w:ilvl="5" w:tplc="0B703998" w:tentative="1">
      <w:start w:val="1"/>
      <w:numFmt w:val="bullet"/>
      <w:lvlText w:val="•"/>
      <w:lvlJc w:val="left"/>
      <w:pPr>
        <w:tabs>
          <w:tab w:val="num" w:pos="4320"/>
        </w:tabs>
        <w:ind w:left="4320" w:hanging="360"/>
      </w:pPr>
      <w:rPr>
        <w:rFonts w:ascii="Arial" w:hAnsi="Arial" w:hint="default"/>
      </w:rPr>
    </w:lvl>
    <w:lvl w:ilvl="6" w:tplc="C692419A" w:tentative="1">
      <w:start w:val="1"/>
      <w:numFmt w:val="bullet"/>
      <w:lvlText w:val="•"/>
      <w:lvlJc w:val="left"/>
      <w:pPr>
        <w:tabs>
          <w:tab w:val="num" w:pos="5040"/>
        </w:tabs>
        <w:ind w:left="5040" w:hanging="360"/>
      </w:pPr>
      <w:rPr>
        <w:rFonts w:ascii="Arial" w:hAnsi="Arial" w:hint="default"/>
      </w:rPr>
    </w:lvl>
    <w:lvl w:ilvl="7" w:tplc="1E80851A" w:tentative="1">
      <w:start w:val="1"/>
      <w:numFmt w:val="bullet"/>
      <w:lvlText w:val="•"/>
      <w:lvlJc w:val="left"/>
      <w:pPr>
        <w:tabs>
          <w:tab w:val="num" w:pos="5760"/>
        </w:tabs>
        <w:ind w:left="5760" w:hanging="360"/>
      </w:pPr>
      <w:rPr>
        <w:rFonts w:ascii="Arial" w:hAnsi="Arial" w:hint="default"/>
      </w:rPr>
    </w:lvl>
    <w:lvl w:ilvl="8" w:tplc="C73A7A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36123D0"/>
    <w:multiLevelType w:val="hybridMultilevel"/>
    <w:tmpl w:val="3B70BB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FA835CC"/>
    <w:multiLevelType w:val="hybridMultilevel"/>
    <w:tmpl w:val="34D6661C"/>
    <w:lvl w:ilvl="0" w:tplc="9E8E5F16">
      <w:start w:val="1"/>
      <w:numFmt w:val="bullet"/>
      <w:lvlText w:val="•"/>
      <w:lvlJc w:val="left"/>
      <w:pPr>
        <w:tabs>
          <w:tab w:val="num" w:pos="720"/>
        </w:tabs>
        <w:ind w:left="720" w:hanging="360"/>
      </w:pPr>
      <w:rPr>
        <w:rFonts w:ascii="Arial" w:hAnsi="Arial" w:hint="default"/>
      </w:rPr>
    </w:lvl>
    <w:lvl w:ilvl="1" w:tplc="59DE081E" w:tentative="1">
      <w:start w:val="1"/>
      <w:numFmt w:val="bullet"/>
      <w:lvlText w:val="•"/>
      <w:lvlJc w:val="left"/>
      <w:pPr>
        <w:tabs>
          <w:tab w:val="num" w:pos="1440"/>
        </w:tabs>
        <w:ind w:left="1440" w:hanging="360"/>
      </w:pPr>
      <w:rPr>
        <w:rFonts w:ascii="Arial" w:hAnsi="Arial" w:hint="default"/>
      </w:rPr>
    </w:lvl>
    <w:lvl w:ilvl="2" w:tplc="DBE0A482" w:tentative="1">
      <w:start w:val="1"/>
      <w:numFmt w:val="bullet"/>
      <w:lvlText w:val="•"/>
      <w:lvlJc w:val="left"/>
      <w:pPr>
        <w:tabs>
          <w:tab w:val="num" w:pos="2160"/>
        </w:tabs>
        <w:ind w:left="2160" w:hanging="360"/>
      </w:pPr>
      <w:rPr>
        <w:rFonts w:ascii="Arial" w:hAnsi="Arial" w:hint="default"/>
      </w:rPr>
    </w:lvl>
    <w:lvl w:ilvl="3" w:tplc="95A8DF6E" w:tentative="1">
      <w:start w:val="1"/>
      <w:numFmt w:val="bullet"/>
      <w:lvlText w:val="•"/>
      <w:lvlJc w:val="left"/>
      <w:pPr>
        <w:tabs>
          <w:tab w:val="num" w:pos="2880"/>
        </w:tabs>
        <w:ind w:left="2880" w:hanging="360"/>
      </w:pPr>
      <w:rPr>
        <w:rFonts w:ascii="Arial" w:hAnsi="Arial" w:hint="default"/>
      </w:rPr>
    </w:lvl>
    <w:lvl w:ilvl="4" w:tplc="1E90CDD0" w:tentative="1">
      <w:start w:val="1"/>
      <w:numFmt w:val="bullet"/>
      <w:lvlText w:val="•"/>
      <w:lvlJc w:val="left"/>
      <w:pPr>
        <w:tabs>
          <w:tab w:val="num" w:pos="3600"/>
        </w:tabs>
        <w:ind w:left="3600" w:hanging="360"/>
      </w:pPr>
      <w:rPr>
        <w:rFonts w:ascii="Arial" w:hAnsi="Arial" w:hint="default"/>
      </w:rPr>
    </w:lvl>
    <w:lvl w:ilvl="5" w:tplc="4312938C" w:tentative="1">
      <w:start w:val="1"/>
      <w:numFmt w:val="bullet"/>
      <w:lvlText w:val="•"/>
      <w:lvlJc w:val="left"/>
      <w:pPr>
        <w:tabs>
          <w:tab w:val="num" w:pos="4320"/>
        </w:tabs>
        <w:ind w:left="4320" w:hanging="360"/>
      </w:pPr>
      <w:rPr>
        <w:rFonts w:ascii="Arial" w:hAnsi="Arial" w:hint="default"/>
      </w:rPr>
    </w:lvl>
    <w:lvl w:ilvl="6" w:tplc="DCEA9C5C" w:tentative="1">
      <w:start w:val="1"/>
      <w:numFmt w:val="bullet"/>
      <w:lvlText w:val="•"/>
      <w:lvlJc w:val="left"/>
      <w:pPr>
        <w:tabs>
          <w:tab w:val="num" w:pos="5040"/>
        </w:tabs>
        <w:ind w:left="5040" w:hanging="360"/>
      </w:pPr>
      <w:rPr>
        <w:rFonts w:ascii="Arial" w:hAnsi="Arial" w:hint="default"/>
      </w:rPr>
    </w:lvl>
    <w:lvl w:ilvl="7" w:tplc="E3F23C94" w:tentative="1">
      <w:start w:val="1"/>
      <w:numFmt w:val="bullet"/>
      <w:lvlText w:val="•"/>
      <w:lvlJc w:val="left"/>
      <w:pPr>
        <w:tabs>
          <w:tab w:val="num" w:pos="5760"/>
        </w:tabs>
        <w:ind w:left="5760" w:hanging="360"/>
      </w:pPr>
      <w:rPr>
        <w:rFonts w:ascii="Arial" w:hAnsi="Arial" w:hint="default"/>
      </w:rPr>
    </w:lvl>
    <w:lvl w:ilvl="8" w:tplc="58205A0A" w:tentative="1">
      <w:start w:val="1"/>
      <w:numFmt w:val="bullet"/>
      <w:lvlText w:val="•"/>
      <w:lvlJc w:val="left"/>
      <w:pPr>
        <w:tabs>
          <w:tab w:val="num" w:pos="6480"/>
        </w:tabs>
        <w:ind w:left="6480" w:hanging="360"/>
      </w:pPr>
      <w:rPr>
        <w:rFonts w:ascii="Arial" w:hAnsi="Arial" w:hint="default"/>
      </w:rPr>
    </w:lvl>
  </w:abstractNum>
  <w:num w:numId="1" w16cid:durableId="2095465918">
    <w:abstractNumId w:val="1"/>
  </w:num>
  <w:num w:numId="2" w16cid:durableId="1129937695">
    <w:abstractNumId w:val="5"/>
  </w:num>
  <w:num w:numId="3" w16cid:durableId="1510675158">
    <w:abstractNumId w:val="3"/>
  </w:num>
  <w:num w:numId="4" w16cid:durableId="1492525437">
    <w:abstractNumId w:val="6"/>
  </w:num>
  <w:num w:numId="5" w16cid:durableId="2034963924">
    <w:abstractNumId w:val="7"/>
  </w:num>
  <w:num w:numId="6" w16cid:durableId="93328751">
    <w:abstractNumId w:val="0"/>
  </w:num>
  <w:num w:numId="7" w16cid:durableId="1844540624">
    <w:abstractNumId w:val="2"/>
  </w:num>
  <w:num w:numId="8" w16cid:durableId="553392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1F"/>
    <w:rsid w:val="000578A6"/>
    <w:rsid w:val="000A04DF"/>
    <w:rsid w:val="000E0D60"/>
    <w:rsid w:val="001D3B74"/>
    <w:rsid w:val="00297BBD"/>
    <w:rsid w:val="002F7C83"/>
    <w:rsid w:val="004D6905"/>
    <w:rsid w:val="005E758C"/>
    <w:rsid w:val="00715068"/>
    <w:rsid w:val="00863DC4"/>
    <w:rsid w:val="0097545A"/>
    <w:rsid w:val="00A623F5"/>
    <w:rsid w:val="00CC2F4C"/>
    <w:rsid w:val="00D87B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D47C"/>
  <w15:chartTrackingRefBased/>
  <w15:docId w15:val="{122BCB7C-5991-4714-964B-69A11C0D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87B1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D87B1F"/>
    <w:rPr>
      <w:color w:val="0563C1" w:themeColor="hyperlink"/>
      <w:u w:val="single"/>
    </w:rPr>
  </w:style>
  <w:style w:type="character" w:styleId="Olstomnmnande">
    <w:name w:val="Unresolved Mention"/>
    <w:basedOn w:val="Standardstycketeckensnitt"/>
    <w:uiPriority w:val="99"/>
    <w:semiHidden/>
    <w:unhideWhenUsed/>
    <w:rsid w:val="00D87B1F"/>
    <w:rPr>
      <w:color w:val="605E5C"/>
      <w:shd w:val="clear" w:color="auto" w:fill="E1DFDD"/>
    </w:rPr>
  </w:style>
  <w:style w:type="paragraph" w:styleId="Liststycke">
    <w:name w:val="List Paragraph"/>
    <w:basedOn w:val="Normal"/>
    <w:uiPriority w:val="34"/>
    <w:qFormat/>
    <w:rsid w:val="000E0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6628">
      <w:bodyDiv w:val="1"/>
      <w:marLeft w:val="0"/>
      <w:marRight w:val="0"/>
      <w:marTop w:val="0"/>
      <w:marBottom w:val="0"/>
      <w:divBdr>
        <w:top w:val="none" w:sz="0" w:space="0" w:color="auto"/>
        <w:left w:val="none" w:sz="0" w:space="0" w:color="auto"/>
        <w:bottom w:val="none" w:sz="0" w:space="0" w:color="auto"/>
        <w:right w:val="none" w:sz="0" w:space="0" w:color="auto"/>
      </w:divBdr>
      <w:divsChild>
        <w:div w:id="2090879335">
          <w:marLeft w:val="360"/>
          <w:marRight w:val="0"/>
          <w:marTop w:val="200"/>
          <w:marBottom w:val="0"/>
          <w:divBdr>
            <w:top w:val="none" w:sz="0" w:space="0" w:color="auto"/>
            <w:left w:val="none" w:sz="0" w:space="0" w:color="auto"/>
            <w:bottom w:val="none" w:sz="0" w:space="0" w:color="auto"/>
            <w:right w:val="none" w:sz="0" w:space="0" w:color="auto"/>
          </w:divBdr>
        </w:div>
        <w:div w:id="1186871438">
          <w:marLeft w:val="360"/>
          <w:marRight w:val="0"/>
          <w:marTop w:val="200"/>
          <w:marBottom w:val="0"/>
          <w:divBdr>
            <w:top w:val="none" w:sz="0" w:space="0" w:color="auto"/>
            <w:left w:val="none" w:sz="0" w:space="0" w:color="auto"/>
            <w:bottom w:val="none" w:sz="0" w:space="0" w:color="auto"/>
            <w:right w:val="none" w:sz="0" w:space="0" w:color="auto"/>
          </w:divBdr>
        </w:div>
        <w:div w:id="1375081370">
          <w:marLeft w:val="360"/>
          <w:marRight w:val="0"/>
          <w:marTop w:val="200"/>
          <w:marBottom w:val="0"/>
          <w:divBdr>
            <w:top w:val="none" w:sz="0" w:space="0" w:color="auto"/>
            <w:left w:val="none" w:sz="0" w:space="0" w:color="auto"/>
            <w:bottom w:val="none" w:sz="0" w:space="0" w:color="auto"/>
            <w:right w:val="none" w:sz="0" w:space="0" w:color="auto"/>
          </w:divBdr>
        </w:div>
      </w:divsChild>
    </w:div>
    <w:div w:id="218327683">
      <w:bodyDiv w:val="1"/>
      <w:marLeft w:val="0"/>
      <w:marRight w:val="0"/>
      <w:marTop w:val="0"/>
      <w:marBottom w:val="0"/>
      <w:divBdr>
        <w:top w:val="none" w:sz="0" w:space="0" w:color="auto"/>
        <w:left w:val="none" w:sz="0" w:space="0" w:color="auto"/>
        <w:bottom w:val="none" w:sz="0" w:space="0" w:color="auto"/>
        <w:right w:val="none" w:sz="0" w:space="0" w:color="auto"/>
      </w:divBdr>
      <w:divsChild>
        <w:div w:id="835456435">
          <w:marLeft w:val="360"/>
          <w:marRight w:val="0"/>
          <w:marTop w:val="200"/>
          <w:marBottom w:val="0"/>
          <w:divBdr>
            <w:top w:val="none" w:sz="0" w:space="0" w:color="auto"/>
            <w:left w:val="none" w:sz="0" w:space="0" w:color="auto"/>
            <w:bottom w:val="none" w:sz="0" w:space="0" w:color="auto"/>
            <w:right w:val="none" w:sz="0" w:space="0" w:color="auto"/>
          </w:divBdr>
        </w:div>
        <w:div w:id="313072584">
          <w:marLeft w:val="360"/>
          <w:marRight w:val="0"/>
          <w:marTop w:val="200"/>
          <w:marBottom w:val="0"/>
          <w:divBdr>
            <w:top w:val="none" w:sz="0" w:space="0" w:color="auto"/>
            <w:left w:val="none" w:sz="0" w:space="0" w:color="auto"/>
            <w:bottom w:val="none" w:sz="0" w:space="0" w:color="auto"/>
            <w:right w:val="none" w:sz="0" w:space="0" w:color="auto"/>
          </w:divBdr>
        </w:div>
        <w:div w:id="147946984">
          <w:marLeft w:val="360"/>
          <w:marRight w:val="0"/>
          <w:marTop w:val="200"/>
          <w:marBottom w:val="0"/>
          <w:divBdr>
            <w:top w:val="none" w:sz="0" w:space="0" w:color="auto"/>
            <w:left w:val="none" w:sz="0" w:space="0" w:color="auto"/>
            <w:bottom w:val="none" w:sz="0" w:space="0" w:color="auto"/>
            <w:right w:val="none" w:sz="0" w:space="0" w:color="auto"/>
          </w:divBdr>
        </w:div>
        <w:div w:id="479809098">
          <w:marLeft w:val="360"/>
          <w:marRight w:val="0"/>
          <w:marTop w:val="200"/>
          <w:marBottom w:val="0"/>
          <w:divBdr>
            <w:top w:val="none" w:sz="0" w:space="0" w:color="auto"/>
            <w:left w:val="none" w:sz="0" w:space="0" w:color="auto"/>
            <w:bottom w:val="none" w:sz="0" w:space="0" w:color="auto"/>
            <w:right w:val="none" w:sz="0" w:space="0" w:color="auto"/>
          </w:divBdr>
        </w:div>
      </w:divsChild>
    </w:div>
    <w:div w:id="602803747">
      <w:bodyDiv w:val="1"/>
      <w:marLeft w:val="0"/>
      <w:marRight w:val="0"/>
      <w:marTop w:val="0"/>
      <w:marBottom w:val="0"/>
      <w:divBdr>
        <w:top w:val="none" w:sz="0" w:space="0" w:color="auto"/>
        <w:left w:val="none" w:sz="0" w:space="0" w:color="auto"/>
        <w:bottom w:val="none" w:sz="0" w:space="0" w:color="auto"/>
        <w:right w:val="none" w:sz="0" w:space="0" w:color="auto"/>
      </w:divBdr>
      <w:divsChild>
        <w:div w:id="49574364">
          <w:marLeft w:val="360"/>
          <w:marRight w:val="0"/>
          <w:marTop w:val="200"/>
          <w:marBottom w:val="0"/>
          <w:divBdr>
            <w:top w:val="none" w:sz="0" w:space="0" w:color="auto"/>
            <w:left w:val="none" w:sz="0" w:space="0" w:color="auto"/>
            <w:bottom w:val="none" w:sz="0" w:space="0" w:color="auto"/>
            <w:right w:val="none" w:sz="0" w:space="0" w:color="auto"/>
          </w:divBdr>
        </w:div>
      </w:divsChild>
    </w:div>
    <w:div w:id="803236816">
      <w:bodyDiv w:val="1"/>
      <w:marLeft w:val="0"/>
      <w:marRight w:val="0"/>
      <w:marTop w:val="0"/>
      <w:marBottom w:val="0"/>
      <w:divBdr>
        <w:top w:val="none" w:sz="0" w:space="0" w:color="auto"/>
        <w:left w:val="none" w:sz="0" w:space="0" w:color="auto"/>
        <w:bottom w:val="none" w:sz="0" w:space="0" w:color="auto"/>
        <w:right w:val="none" w:sz="0" w:space="0" w:color="auto"/>
      </w:divBdr>
      <w:divsChild>
        <w:div w:id="974138769">
          <w:marLeft w:val="360"/>
          <w:marRight w:val="0"/>
          <w:marTop w:val="200"/>
          <w:marBottom w:val="0"/>
          <w:divBdr>
            <w:top w:val="none" w:sz="0" w:space="0" w:color="auto"/>
            <w:left w:val="none" w:sz="0" w:space="0" w:color="auto"/>
            <w:bottom w:val="none" w:sz="0" w:space="0" w:color="auto"/>
            <w:right w:val="none" w:sz="0" w:space="0" w:color="auto"/>
          </w:divBdr>
        </w:div>
      </w:divsChild>
    </w:div>
    <w:div w:id="1158811949">
      <w:bodyDiv w:val="1"/>
      <w:marLeft w:val="0"/>
      <w:marRight w:val="0"/>
      <w:marTop w:val="0"/>
      <w:marBottom w:val="0"/>
      <w:divBdr>
        <w:top w:val="none" w:sz="0" w:space="0" w:color="auto"/>
        <w:left w:val="none" w:sz="0" w:space="0" w:color="auto"/>
        <w:bottom w:val="none" w:sz="0" w:space="0" w:color="auto"/>
        <w:right w:val="none" w:sz="0" w:space="0" w:color="auto"/>
      </w:divBdr>
    </w:div>
    <w:div w:id="1367488273">
      <w:bodyDiv w:val="1"/>
      <w:marLeft w:val="0"/>
      <w:marRight w:val="0"/>
      <w:marTop w:val="0"/>
      <w:marBottom w:val="0"/>
      <w:divBdr>
        <w:top w:val="none" w:sz="0" w:space="0" w:color="auto"/>
        <w:left w:val="none" w:sz="0" w:space="0" w:color="auto"/>
        <w:bottom w:val="none" w:sz="0" w:space="0" w:color="auto"/>
        <w:right w:val="none" w:sz="0" w:space="0" w:color="auto"/>
      </w:divBdr>
    </w:div>
    <w:div w:id="1708217814">
      <w:bodyDiv w:val="1"/>
      <w:marLeft w:val="0"/>
      <w:marRight w:val="0"/>
      <w:marTop w:val="0"/>
      <w:marBottom w:val="0"/>
      <w:divBdr>
        <w:top w:val="none" w:sz="0" w:space="0" w:color="auto"/>
        <w:left w:val="none" w:sz="0" w:space="0" w:color="auto"/>
        <w:bottom w:val="none" w:sz="0" w:space="0" w:color="auto"/>
        <w:right w:val="none" w:sz="0" w:space="0" w:color="auto"/>
      </w:divBdr>
      <w:divsChild>
        <w:div w:id="36660925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ksdagen.se/sv/dokument-lagar/dokument/kommitteberattelse/uppdrag-att-utreda-aktivitetsplikt---deltagande-i_HAB2SE" TargetMode="External"/><Relationship Id="rId3" Type="http://schemas.openxmlformats.org/officeDocument/2006/relationships/settings" Target="settings.xml"/><Relationship Id="rId7" Type="http://schemas.openxmlformats.org/officeDocument/2006/relationships/hyperlink" Target="https://www.regeringen.se/rattsliga-dokument/kommittedirektiv/2022/07/dir.-2022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eringen.se/rattsliga-dokument/statens-offentliga-utredningar/2020/04/sou-202024/" TargetMode="External"/><Relationship Id="rId5" Type="http://schemas.openxmlformats.org/officeDocument/2006/relationships/hyperlink" Target="https://skr.se/download/18.42336a32177c8ab158d44ba5/1615391634001/Viljeinriktning.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957</Words>
  <Characters>5076</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Hallmans</dc:creator>
  <cp:keywords/>
  <dc:description/>
  <cp:lastModifiedBy>Kajsa Hallmans</cp:lastModifiedBy>
  <cp:revision>7</cp:revision>
  <dcterms:created xsi:type="dcterms:W3CDTF">2023-08-30T06:54:00Z</dcterms:created>
  <dcterms:modified xsi:type="dcterms:W3CDTF">2023-11-27T15:02:00Z</dcterms:modified>
</cp:coreProperties>
</file>